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兰亭中黑_GBK" w:hAnsi="微软雅黑" w:eastAsia="方正兰亭中黑_GBK" w:cs="方正粗宋_GBK"/>
          <w:color w:val="000000"/>
          <w:kern w:val="0"/>
          <w:sz w:val="40"/>
          <w:szCs w:val="40"/>
          <w:lang w:val="zh-CN"/>
        </w:rPr>
      </w:pPr>
      <w:r>
        <w:rPr>
          <w:rFonts w:hint="eastAsia" w:ascii="方正兰亭中黑_GBK" w:hAnsi="微软雅黑" w:eastAsia="方正兰亭中黑_GBK" w:cs="方正粗宋_GBK"/>
          <w:color w:val="000000"/>
          <w:kern w:val="0"/>
          <w:sz w:val="40"/>
          <w:szCs w:val="40"/>
          <w:lang w:val="zh-CN"/>
        </w:rPr>
        <w:t>中国长三角优秀石材建设工程金石奖</w:t>
      </w:r>
    </w:p>
    <w:p>
      <w:pPr>
        <w:spacing w:line="480" w:lineRule="exact"/>
        <w:jc w:val="center"/>
        <w:rPr>
          <w:rFonts w:hint="eastAsia" w:ascii="方正兰亭中黑_GBK" w:hAnsi="微软雅黑" w:eastAsia="方正兰亭中黑_GBK" w:cs="方正兰亭黑_GBK"/>
          <w:sz w:val="40"/>
          <w:szCs w:val="40"/>
        </w:rPr>
      </w:pPr>
      <w:r>
        <w:rPr>
          <w:rFonts w:hint="eastAsia" w:ascii="方正兰亭中黑_GBK" w:hAnsi="微软雅黑" w:eastAsia="方正兰亭中黑_GBK" w:cs="方正兰亭黑_GBK"/>
          <w:sz w:val="40"/>
          <w:szCs w:val="40"/>
        </w:rPr>
        <w:t>活动方案</w:t>
      </w:r>
    </w:p>
    <w:p>
      <w:pPr>
        <w:spacing w:line="480" w:lineRule="exact"/>
        <w:ind w:firstLine="4384" w:firstLineChars="1096"/>
        <w:rPr>
          <w:rFonts w:ascii="方正兰亭中黑_GBK" w:hAnsi="微软雅黑" w:eastAsia="方正兰亭中黑_GBK" w:cs="方正兰亭黑_GBK"/>
          <w:sz w:val="40"/>
          <w:szCs w:val="40"/>
        </w:rPr>
      </w:pPr>
    </w:p>
    <w:p>
      <w:pPr>
        <w:pStyle w:val="24"/>
        <w:spacing w:line="420" w:lineRule="exact"/>
        <w:jc w:val="center"/>
        <w:rPr>
          <w:rFonts w:ascii="方正兰亭中黑_GBK" w:eastAsia="方正兰亭中黑_GBK" w:cs="方正兰亭中黑_GBK"/>
          <w:sz w:val="28"/>
          <w:szCs w:val="28"/>
        </w:rPr>
      </w:pPr>
      <w:r>
        <w:rPr>
          <w:rFonts w:hint="eastAsia" w:ascii="方正兰亭中黑_GBK" w:eastAsia="方正兰亭中黑_GBK" w:cs="方正兰亭中黑_GBK"/>
          <w:sz w:val="28"/>
          <w:szCs w:val="28"/>
        </w:rPr>
        <w:t>第一章总则</w:t>
      </w:r>
    </w:p>
    <w:p>
      <w:pPr>
        <w:pStyle w:val="24"/>
        <w:spacing w:line="420" w:lineRule="exact"/>
        <w:rPr>
          <w:rFonts w:ascii="仿宋_GB2312" w:eastAsia="仿宋_GB2312" w:cs="仿宋_GB2312"/>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sz w:val="28"/>
          <w:szCs w:val="28"/>
        </w:rPr>
        <w:t>　</w:t>
      </w:r>
      <w:r>
        <w:rPr>
          <w:rFonts w:hint="eastAsia" w:ascii="仿宋_GB2312" w:eastAsia="仿宋_GB2312" w:cs="仿宋_GB2312"/>
          <w:color w:val="auto"/>
          <w:sz w:val="28"/>
          <w:szCs w:val="28"/>
        </w:rPr>
        <w:t>　第一条：石材在建设工程中的应用越来越广泛，石材的选材、加工、设计、铺装已经成为建设工程过程中的重要组成部分。为了提高石材施工的技术水平，提升石材工程的安全质量，宣传石材应用知识，作为配合管理部门对石材工程应用调研、检查、指导和示范系列工作，特举办中国长三角优秀石材金石奖活动并制定本方案。</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第二条：活动得到江、浙、沪三地建设管理部门支持指导，由上海石材行业协会、上海市装饰装修行业协会、浙江省建筑装饰行业协会、江苏省装饰装修行业协会主办，相关部门协办。</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w:t>
      </w: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第二章机构设置</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三条：主办单位建立联席会议制度，是活动决策机构；设立专家委员会，由建筑、装饰、设计和石材业的专家组成，是活动的最高咨询评价机构，也是活动的组织、技术顾问机构；设立活动办公室，负责活动日常工作；江、浙、沪各设立赛区，负责当地工程的报名及具体事务工作；由活动办聘任专家成立现场咨询指导工作小组，负责报名工程的现场咨询辅导工作。</w:t>
      </w:r>
    </w:p>
    <w:p>
      <w:pPr>
        <w:pStyle w:val="24"/>
        <w:spacing w:line="420" w:lineRule="exact"/>
        <w:rPr>
          <w:rFonts w:ascii="仿宋_GB2312" w:eastAsia="仿宋_GB2312" w:cs="仿宋_GB2312"/>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第三章 申报范围及条件</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第四条：申报工程的企业为工程的建设方、总承包或主承建企业、装饰及幕墙专业承包企业、石材供料企业、工程设计单位、石材养护企业。</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第五条：申报工程范围是：能够体现石材（天然石材、人造石）使用相应体量、质量和效果的工业、民用、公共建筑、市政工程、园林绿化工程和其他工程。其工程的要求如下：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一、申报截止日前拟建或在建，第二年同期应为竣工的石材工程。申报当年为咨询辅导期；经专家辅导合格推选第二年入选“金石奖工程”（已经竣工工程可当年参选）；</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二、石材工程施工建安工作量达到</w:t>
      </w:r>
      <w:r>
        <w:rPr>
          <w:rFonts w:ascii="仿宋_GB2312" w:eastAsia="仿宋_GB2312" w:cs="仿宋_GB2312"/>
          <w:color w:val="auto"/>
          <w:sz w:val="28"/>
          <w:szCs w:val="28"/>
        </w:rPr>
        <w:t>200</w:t>
      </w:r>
      <w:r>
        <w:rPr>
          <w:rFonts w:hint="eastAsia" w:ascii="仿宋_GB2312" w:eastAsia="仿宋_GB2312" w:cs="仿宋_GB2312"/>
          <w:color w:val="auto"/>
          <w:sz w:val="28"/>
          <w:szCs w:val="28"/>
        </w:rPr>
        <w:t>万元以上（含</w:t>
      </w:r>
      <w:r>
        <w:rPr>
          <w:rFonts w:ascii="仿宋_GB2312" w:eastAsia="仿宋_GB2312" w:cs="仿宋_GB2312"/>
          <w:color w:val="auto"/>
          <w:sz w:val="28"/>
          <w:szCs w:val="28"/>
        </w:rPr>
        <w:t>200</w:t>
      </w:r>
      <w:r>
        <w:rPr>
          <w:rFonts w:hint="eastAsia" w:ascii="仿宋_GB2312" w:eastAsia="仿宋_GB2312" w:cs="仿宋_GB2312"/>
          <w:color w:val="auto"/>
          <w:sz w:val="28"/>
          <w:szCs w:val="28"/>
        </w:rPr>
        <w:t>万）；</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三、石材建设工程一般应位于中国长三角地区；</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四、别墅、酒店、商场等石材建安工作量</w:t>
      </w:r>
      <w:r>
        <w:rPr>
          <w:rFonts w:ascii="仿宋_GB2312" w:eastAsia="仿宋_GB2312" w:cs="仿宋_GB2312"/>
          <w:color w:val="auto"/>
          <w:sz w:val="28"/>
          <w:szCs w:val="28"/>
        </w:rPr>
        <w:t>100</w:t>
      </w:r>
      <w:r>
        <w:rPr>
          <w:rFonts w:hint="eastAsia" w:ascii="仿宋_GB2312" w:eastAsia="仿宋_GB2312" w:cs="仿宋_GB2312"/>
          <w:color w:val="auto"/>
          <w:sz w:val="28"/>
          <w:szCs w:val="28"/>
        </w:rPr>
        <w:t>万以上未达</w:t>
      </w:r>
      <w:r>
        <w:rPr>
          <w:rFonts w:ascii="仿宋_GB2312" w:eastAsia="仿宋_GB2312" w:cs="仿宋_GB2312"/>
          <w:color w:val="auto"/>
          <w:sz w:val="28"/>
          <w:szCs w:val="28"/>
        </w:rPr>
        <w:t>200</w:t>
      </w:r>
      <w:r>
        <w:rPr>
          <w:rFonts w:hint="eastAsia" w:ascii="仿宋_GB2312" w:eastAsia="仿宋_GB2312" w:cs="仿宋_GB2312"/>
          <w:color w:val="auto"/>
          <w:sz w:val="28"/>
          <w:szCs w:val="28"/>
        </w:rPr>
        <w:t>万元，但确实是石材精品特色工程，经企业申请，赛区现场审核认可，可以申报；</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五、申报单位应具备相应的资质资格。获得国家和省市建设工程类奖项的工程优先入围。</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六、有以下情况的不列入入选范围：有质量及安全隐患的工程；未经工程质量及消防验收或备案的工程；发生过重大质量及安全事故的工程。</w:t>
      </w:r>
    </w:p>
    <w:p>
      <w:pPr>
        <w:pStyle w:val="24"/>
        <w:spacing w:line="420" w:lineRule="exact"/>
        <w:rPr>
          <w:rFonts w:ascii="仿宋_GB2312" w:eastAsia="仿宋_GB2312" w:cs="仿宋_GB2312"/>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第四章申报程序</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第六条：活动申报、检查、指导、选拔一律通过各赛区实施。</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第七条：申报程序</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一、报名企业向各自所属区域赛区申报，由各赛区负责组织咨询辅导、选拔和推荐；</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二、各赛区对推荐企业的申报资料进行初审，通过初审的在《金石奖工程申报表》中签署意见和盖章；</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三、申报表请向所在区域协会（赛区）申领，或从主办单位网站下载；</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四、申报截止日期：</w:t>
      </w:r>
      <w:r>
        <w:rPr>
          <w:rFonts w:hint="eastAsia" w:ascii="仿宋_GB2312" w:eastAsia="仿宋_GB2312" w:cs="仿宋_GB2312"/>
          <w:color w:val="auto"/>
          <w:sz w:val="28"/>
          <w:szCs w:val="28"/>
          <w:lang w:val="en-US"/>
        </w:rPr>
        <w:t>6</w:t>
      </w:r>
      <w:r>
        <w:rPr>
          <w:rFonts w:hint="eastAsia" w:ascii="仿宋_GB2312" w:eastAsia="仿宋_GB2312" w:cs="仿宋_GB2312"/>
          <w:color w:val="auto"/>
          <w:sz w:val="28"/>
          <w:szCs w:val="28"/>
        </w:rPr>
        <w:t>月15日。</w:t>
      </w:r>
    </w:p>
    <w:p>
      <w:pPr>
        <w:pStyle w:val="24"/>
        <w:spacing w:line="420" w:lineRule="exact"/>
        <w:rPr>
          <w:rFonts w:ascii="仿宋_GB2312" w:eastAsia="仿宋_GB2312" w:cs="仿宋_GB2312"/>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第五章申报要求</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第九条：申报资料的内容和要求</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一、申报表（一式三份，表中内容不得缺项，表内签署意见的各栏必须写明意见并盖章）</w:t>
      </w:r>
    </w:p>
    <w:p>
      <w:pPr>
        <w:pStyle w:val="24"/>
        <w:spacing w:line="420" w:lineRule="exact"/>
        <w:rPr>
          <w:rFonts w:ascii="仿宋_GB2312" w:eastAsia="仿宋_GB2312" w:cs="仿宋_GB2312"/>
          <w:color w:val="auto"/>
          <w:spacing w:val="-6"/>
          <w:sz w:val="28"/>
          <w:szCs w:val="28"/>
        </w:rPr>
      </w:pPr>
      <w:r>
        <w:rPr>
          <w:rFonts w:hint="eastAsia" w:ascii="仿宋_GB2312" w:eastAsia="仿宋_GB2312" w:cs="仿宋_GB2312"/>
          <w:color w:val="auto"/>
          <w:sz w:val="28"/>
          <w:szCs w:val="28"/>
        </w:rPr>
        <w:t>　　二、</w:t>
      </w:r>
      <w:r>
        <w:rPr>
          <w:rFonts w:hint="eastAsia" w:ascii="仿宋_GB2312" w:eastAsia="仿宋_GB2312" w:cs="仿宋_GB2312"/>
          <w:color w:val="auto"/>
          <w:spacing w:val="-6"/>
          <w:sz w:val="28"/>
          <w:szCs w:val="28"/>
        </w:rPr>
        <w:t>申报单位营业执照、施工资质证书（复印件盖章）；</w:t>
      </w:r>
    </w:p>
    <w:p>
      <w:pPr>
        <w:pStyle w:val="24"/>
        <w:spacing w:line="420" w:lineRule="exact"/>
        <w:ind w:firstLine="570"/>
        <w:rPr>
          <w:rFonts w:hint="eastAsia" w:ascii="仿宋_GB2312" w:eastAsia="仿宋_GB2312" w:cs="仿宋_GB2312"/>
          <w:color w:val="auto"/>
          <w:sz w:val="28"/>
          <w:szCs w:val="28"/>
        </w:rPr>
      </w:pPr>
      <w:r>
        <w:rPr>
          <w:rFonts w:hint="eastAsia" w:ascii="仿宋_GB2312" w:eastAsia="仿宋_GB2312" w:cs="仿宋_GB2312"/>
          <w:color w:val="auto"/>
          <w:sz w:val="28"/>
          <w:szCs w:val="28"/>
        </w:rPr>
        <w:t>三、经专家咨询指导，工程竣工后，提供（201</w:t>
      </w:r>
      <w:r>
        <w:rPr>
          <w:rFonts w:hint="eastAsia" w:ascii="仿宋_GB2312" w:eastAsia="仿宋_GB2312" w:cs="仿宋_GB2312"/>
          <w:color w:val="auto"/>
          <w:sz w:val="28"/>
          <w:szCs w:val="28"/>
          <w:lang w:val="en-US"/>
        </w:rPr>
        <w:t>9</w:t>
      </w:r>
      <w:r>
        <w:rPr>
          <w:rFonts w:hint="eastAsia" w:ascii="仿宋_GB2312" w:eastAsia="仿宋_GB2312" w:cs="仿宋_GB2312"/>
          <w:color w:val="auto"/>
          <w:sz w:val="28"/>
          <w:szCs w:val="28"/>
        </w:rPr>
        <w:t>年申报已竣工工程提供）：</w:t>
      </w:r>
    </w:p>
    <w:p>
      <w:pPr>
        <w:pStyle w:val="24"/>
        <w:spacing w:line="420" w:lineRule="exact"/>
        <w:ind w:firstLine="570"/>
        <w:rPr>
          <w:rFonts w:hint="eastAsia" w:ascii="仿宋_GB2312" w:eastAsia="仿宋_GB2312" w:cs="仿宋_GB2312"/>
          <w:color w:val="auto"/>
          <w:sz w:val="28"/>
          <w:szCs w:val="28"/>
        </w:rPr>
      </w:pPr>
      <w:r>
        <w:rPr>
          <w:rFonts w:hint="eastAsia" w:ascii="仿宋_GB2312" w:eastAsia="仿宋_GB2312" w:cs="仿宋_GB2312"/>
          <w:color w:val="auto"/>
          <w:sz w:val="28"/>
          <w:szCs w:val="28"/>
        </w:rPr>
        <w:t>1、工程合同、竣工验收文件、备案文件或建设单位组织验收的证明（复印件盖章）；</w:t>
      </w:r>
    </w:p>
    <w:p>
      <w:pPr>
        <w:pStyle w:val="24"/>
        <w:spacing w:line="420" w:lineRule="exact"/>
        <w:ind w:firstLine="570"/>
        <w:rPr>
          <w:rFonts w:ascii="仿宋_GB2312" w:eastAsia="仿宋_GB2312" w:cs="仿宋_GB2312"/>
          <w:color w:val="auto"/>
          <w:sz w:val="28"/>
          <w:szCs w:val="28"/>
        </w:rPr>
      </w:pPr>
      <w:r>
        <w:rPr>
          <w:rFonts w:hint="eastAsia" w:ascii="仿宋_GB2312" w:eastAsia="仿宋_GB2312" w:cs="仿宋_GB2312"/>
          <w:color w:val="auto"/>
          <w:sz w:val="28"/>
          <w:szCs w:val="28"/>
        </w:rPr>
        <w:t>2、工程概况、</w:t>
      </w:r>
      <w:r>
        <w:rPr>
          <w:rFonts w:ascii="仿宋_GB2312" w:eastAsia="仿宋_GB2312" w:cs="仿宋_GB2312"/>
          <w:color w:val="auto"/>
          <w:sz w:val="28"/>
          <w:szCs w:val="28"/>
        </w:rPr>
        <w:t>5</w:t>
      </w:r>
      <w:r>
        <w:rPr>
          <w:rFonts w:hint="eastAsia" w:ascii="仿宋_GB2312" w:eastAsia="仿宋_GB2312" w:cs="仿宋_GB2312"/>
          <w:color w:val="auto"/>
          <w:sz w:val="28"/>
          <w:szCs w:val="28"/>
        </w:rPr>
        <w:t>寸工程彩照</w:t>
      </w:r>
      <w:r>
        <w:rPr>
          <w:rFonts w:ascii="仿宋_GB2312" w:eastAsia="仿宋_GB2312" w:cs="仿宋_GB2312"/>
          <w:color w:val="auto"/>
          <w:sz w:val="28"/>
          <w:szCs w:val="28"/>
        </w:rPr>
        <w:t>5</w:t>
      </w:r>
      <w:r>
        <w:rPr>
          <w:rFonts w:hint="eastAsia" w:ascii="仿宋_GB2312" w:eastAsia="仿宋_GB2312" w:cs="仿宋_GB2312"/>
          <w:color w:val="auto"/>
          <w:sz w:val="28"/>
          <w:szCs w:val="28"/>
        </w:rPr>
        <w:t>张（电子版，文字说明</w:t>
      </w:r>
      <w:r>
        <w:rPr>
          <w:rFonts w:ascii="仿宋_GB2312" w:eastAsia="仿宋_GB2312" w:cs="仿宋_GB2312"/>
          <w:color w:val="auto"/>
          <w:sz w:val="28"/>
          <w:szCs w:val="28"/>
        </w:rPr>
        <w:t>500</w:t>
      </w:r>
      <w:r>
        <w:rPr>
          <w:rFonts w:hint="eastAsia" w:ascii="仿宋_GB2312" w:eastAsia="仿宋_GB2312" w:cs="仿宋_GB2312"/>
          <w:color w:val="auto"/>
          <w:sz w:val="28"/>
          <w:szCs w:val="28"/>
        </w:rPr>
        <w:t>字以内</w:t>
      </w:r>
      <w:r>
        <w:rPr>
          <w:rFonts w:ascii="仿宋_GB2312" w:eastAsia="仿宋_GB2312" w:cs="仿宋_GB2312"/>
          <w:color w:val="auto"/>
          <w:sz w:val="28"/>
          <w:szCs w:val="28"/>
        </w:rPr>
        <w:t>,</w:t>
      </w:r>
      <w:r>
        <w:rPr>
          <w:rFonts w:hint="eastAsia" w:ascii="仿宋_GB2312" w:eastAsia="仿宋_GB2312" w:cs="仿宋_GB2312"/>
          <w:color w:val="auto"/>
          <w:sz w:val="28"/>
          <w:szCs w:val="28"/>
        </w:rPr>
        <w:t>照片要体现工程总体和各个角度效果，每张照片精度</w:t>
      </w:r>
      <w:r>
        <w:rPr>
          <w:rFonts w:ascii="仿宋_GB2312" w:eastAsia="仿宋_GB2312" w:cs="仿宋_GB2312"/>
          <w:color w:val="auto"/>
          <w:sz w:val="28"/>
          <w:szCs w:val="28"/>
        </w:rPr>
        <w:t>300</w:t>
      </w:r>
      <w:r>
        <w:rPr>
          <w:rFonts w:hint="eastAsia" w:ascii="仿宋_GB2312" w:eastAsia="仿宋_GB2312" w:cs="仿宋_GB2312"/>
          <w:color w:val="auto"/>
          <w:sz w:val="28"/>
          <w:szCs w:val="28"/>
        </w:rPr>
        <w:t>万像素以上，大小</w:t>
      </w:r>
      <w:r>
        <w:rPr>
          <w:rFonts w:ascii="仿宋_GB2312" w:eastAsia="仿宋_GB2312" w:cs="仿宋_GB2312"/>
          <w:color w:val="auto"/>
          <w:sz w:val="28"/>
          <w:szCs w:val="28"/>
        </w:rPr>
        <w:t>1M</w:t>
      </w:r>
      <w:r>
        <w:rPr>
          <w:rFonts w:hint="eastAsia" w:ascii="仿宋_GB2312" w:eastAsia="仿宋_GB2312" w:cs="仿宋_GB2312"/>
          <w:color w:val="auto"/>
          <w:sz w:val="28"/>
          <w:szCs w:val="28"/>
        </w:rPr>
        <w:t>以上）；</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3、室内工程使用花岗石须提供石材放射性检测报告；</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4、石材备案证明（限上海工程，养护工程不需要）；</w:t>
      </w:r>
    </w:p>
    <w:p>
      <w:pPr>
        <w:pStyle w:val="24"/>
        <w:spacing w:line="420" w:lineRule="exact"/>
        <w:ind w:firstLine="560"/>
        <w:rPr>
          <w:rFonts w:hint="eastAsia" w:ascii="仿宋_GB2312" w:eastAsia="仿宋_GB2312" w:cs="仿宋_GB2312"/>
          <w:color w:val="auto"/>
          <w:sz w:val="28"/>
          <w:szCs w:val="28"/>
        </w:rPr>
      </w:pPr>
      <w:r>
        <w:rPr>
          <w:rFonts w:hint="eastAsia" w:ascii="仿宋_GB2312" w:eastAsia="仿宋_GB2312" w:cs="仿宋_GB2312"/>
          <w:color w:val="auto"/>
          <w:sz w:val="28"/>
          <w:szCs w:val="28"/>
        </w:rPr>
        <w:t>5、工程交付及用户评价意见；</w:t>
      </w:r>
    </w:p>
    <w:p>
      <w:pPr>
        <w:pStyle w:val="24"/>
        <w:spacing w:line="420" w:lineRule="exact"/>
        <w:ind w:firstLine="560"/>
        <w:rPr>
          <w:rFonts w:hint="eastAsia" w:ascii="仿宋_GB2312" w:eastAsia="仿宋_GB2312" w:cs="仿宋_GB2312"/>
          <w:color w:val="auto"/>
          <w:sz w:val="28"/>
          <w:szCs w:val="28"/>
        </w:rPr>
      </w:pPr>
      <w:r>
        <w:rPr>
          <w:rFonts w:hint="eastAsia" w:ascii="仿宋_GB2312" w:eastAsia="仿宋_GB2312" w:cs="仿宋_GB2312"/>
          <w:color w:val="auto"/>
          <w:sz w:val="28"/>
          <w:szCs w:val="28"/>
        </w:rPr>
        <w:t>6、申报“优秀项目经理”需提供岗位资格证书、个人事迹介绍（500字以上）、个人工作照一张；“重点推荐石材品种”需提供高清照片、一年内有效检测报告、产品特点和使用效果介绍（500字以上）。</w:t>
      </w:r>
    </w:p>
    <w:p>
      <w:pPr>
        <w:pStyle w:val="24"/>
        <w:spacing w:line="420" w:lineRule="exact"/>
        <w:ind w:firstLine="570"/>
        <w:rPr>
          <w:rFonts w:hint="eastAsia" w:ascii="仿宋_GB2312" w:eastAsia="仿宋_GB2312" w:cs="仿宋_GB2312"/>
          <w:color w:val="auto"/>
          <w:sz w:val="28"/>
          <w:szCs w:val="28"/>
        </w:rPr>
      </w:pPr>
      <w:r>
        <w:rPr>
          <w:rFonts w:hint="eastAsia" w:ascii="仿宋_GB2312" w:eastAsia="仿宋_GB2312" w:cs="仿宋_GB2312"/>
          <w:color w:val="auto"/>
          <w:sz w:val="28"/>
          <w:szCs w:val="28"/>
        </w:rPr>
        <w:t>资料按要求和顺序装订成册，凡申报资料不齐全的工程，不列入入选范围。</w:t>
      </w:r>
    </w:p>
    <w:p>
      <w:pPr>
        <w:pStyle w:val="24"/>
        <w:spacing w:line="420" w:lineRule="exact"/>
        <w:ind w:firstLine="570"/>
        <w:rPr>
          <w:rFonts w:ascii="仿宋_GB2312" w:eastAsia="仿宋_GB2312" w:cs="仿宋_GB2312"/>
          <w:color w:val="auto"/>
          <w:sz w:val="28"/>
          <w:szCs w:val="28"/>
        </w:rPr>
      </w:pPr>
      <w:r>
        <w:rPr>
          <w:rFonts w:hint="eastAsia" w:ascii="仿宋_GB2312" w:eastAsia="仿宋_GB2312" w:cs="仿宋_GB2312"/>
          <w:color w:val="auto"/>
          <w:sz w:val="28"/>
          <w:szCs w:val="28"/>
        </w:rPr>
        <w:t>注：</w:t>
      </w:r>
      <w:r>
        <w:rPr>
          <w:rFonts w:ascii="仿宋_GB2312" w:eastAsia="仿宋_GB2312" w:cs="仿宋_GB2312"/>
          <w:color w:val="auto"/>
          <w:sz w:val="28"/>
          <w:szCs w:val="28"/>
        </w:rPr>
        <w:t>1</w:t>
      </w:r>
      <w:r>
        <w:rPr>
          <w:rFonts w:hint="eastAsia" w:ascii="仿宋_GB2312" w:eastAsia="仿宋_GB2312" w:cs="仿宋_GB2312"/>
          <w:color w:val="auto"/>
          <w:sz w:val="28"/>
          <w:szCs w:val="28"/>
        </w:rPr>
        <w:t>、未通过两省一市优秀建筑装饰工程奖评选的工程，需提供工程验收资料与竣工图并进行现场复查；已通过两省一市优秀建筑装饰工程奖评选的工程不需提供工程验收资料与竣工图，但需提供获奖证书复印件；</w:t>
      </w:r>
      <w:r>
        <w:rPr>
          <w:rFonts w:ascii="仿宋_GB2312" w:eastAsia="仿宋_GB2312" w:cs="仿宋_GB2312"/>
          <w:color w:val="auto"/>
          <w:sz w:val="28"/>
          <w:szCs w:val="28"/>
        </w:rPr>
        <w:t>2</w:t>
      </w:r>
      <w:r>
        <w:rPr>
          <w:rFonts w:hint="eastAsia" w:ascii="仿宋_GB2312" w:eastAsia="仿宋_GB2312" w:cs="仿宋_GB2312"/>
          <w:color w:val="auto"/>
          <w:sz w:val="28"/>
          <w:szCs w:val="28"/>
        </w:rPr>
        <w:t>、第3.2、3.6文字介绍和照片需同时提供电子版。</w:t>
      </w:r>
    </w:p>
    <w:p>
      <w:pPr>
        <w:pStyle w:val="24"/>
        <w:spacing w:line="420" w:lineRule="exact"/>
        <w:jc w:val="center"/>
        <w:rPr>
          <w:rFonts w:hint="eastAsia" w:ascii="方正兰亭中黑_GBK" w:eastAsia="方正兰亭中黑_GBK" w:cs="方正兰亭中黑_GBK"/>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第六章  工程咨询指导和评审</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第十条：依据石材工程相关标准，咨询指导内容包括：</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一、石材工程的总体效果</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二、石材工程的质量</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三、石材工程的技术创新</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四、石材工程的规模</w:t>
      </w:r>
    </w:p>
    <w:p>
      <w:pPr>
        <w:pStyle w:val="24"/>
        <w:spacing w:line="420" w:lineRule="exact"/>
        <w:ind w:firstLine="570"/>
        <w:rPr>
          <w:rFonts w:hint="eastAsia" w:ascii="仿宋_GB2312" w:eastAsia="仿宋_GB2312" w:cs="仿宋_GB2312"/>
          <w:color w:val="auto"/>
          <w:sz w:val="28"/>
          <w:szCs w:val="28"/>
        </w:rPr>
      </w:pPr>
      <w:r>
        <w:rPr>
          <w:rFonts w:hint="eastAsia" w:ascii="仿宋_GB2312" w:eastAsia="仿宋_GB2312" w:cs="仿宋_GB2312"/>
          <w:color w:val="auto"/>
          <w:sz w:val="28"/>
          <w:szCs w:val="28"/>
        </w:rPr>
        <w:t>第十一条：活动于年初开始接受报名，经过赛区初审、专家现场咨询指导、第二年竣工工程候选推荐、评委会评审、公示确认、示范宣传六个环节，与第二年7月底公布“金石奖工程”入选名单。</w:t>
      </w:r>
    </w:p>
    <w:p>
      <w:pPr>
        <w:pStyle w:val="24"/>
        <w:spacing w:line="420" w:lineRule="exact"/>
        <w:ind w:firstLine="560" w:firstLineChars="200"/>
        <w:rPr>
          <w:rFonts w:ascii="仿宋_GB2312" w:eastAsia="仿宋_GB2312" w:cs="仿宋_GB2312"/>
          <w:color w:val="auto"/>
          <w:sz w:val="28"/>
          <w:szCs w:val="28"/>
        </w:rPr>
      </w:pPr>
      <w:r>
        <w:rPr>
          <w:rFonts w:hint="eastAsia" w:ascii="仿宋_GB2312" w:eastAsia="仿宋_GB2312" w:cs="仿宋_GB2312"/>
          <w:color w:val="auto"/>
          <w:sz w:val="28"/>
          <w:szCs w:val="28"/>
        </w:rPr>
        <w:t>201</w:t>
      </w:r>
      <w:r>
        <w:rPr>
          <w:rFonts w:hint="eastAsia" w:ascii="仿宋_GB2312" w:eastAsia="仿宋_GB2312" w:cs="仿宋_GB2312"/>
          <w:color w:val="auto"/>
          <w:sz w:val="28"/>
          <w:szCs w:val="28"/>
          <w:lang w:val="en-US"/>
        </w:rPr>
        <w:t>9</w:t>
      </w:r>
      <w:r>
        <w:rPr>
          <w:rFonts w:hint="eastAsia" w:ascii="仿宋_GB2312" w:eastAsia="仿宋_GB2312" w:cs="仿宋_GB2312"/>
          <w:color w:val="auto"/>
          <w:sz w:val="28"/>
          <w:szCs w:val="28"/>
        </w:rPr>
        <w:t>年同时接受当年已竣工的工程申报和201</w:t>
      </w:r>
      <w:r>
        <w:rPr>
          <w:rFonts w:hint="eastAsia" w:ascii="仿宋_GB2312" w:eastAsia="仿宋_GB2312" w:cs="仿宋_GB2312"/>
          <w:color w:val="auto"/>
          <w:sz w:val="28"/>
          <w:szCs w:val="28"/>
          <w:lang w:val="en-US"/>
        </w:rPr>
        <w:t>9</w:t>
      </w:r>
      <w:r>
        <w:rPr>
          <w:rFonts w:hint="eastAsia" w:ascii="仿宋_GB2312" w:eastAsia="仿宋_GB2312" w:cs="仿宋_GB2312"/>
          <w:color w:val="auto"/>
          <w:sz w:val="28"/>
          <w:szCs w:val="28"/>
        </w:rPr>
        <w:t>年拟建在建、20</w:t>
      </w:r>
      <w:r>
        <w:rPr>
          <w:rFonts w:hint="eastAsia" w:ascii="仿宋_GB2312" w:eastAsia="仿宋_GB2312" w:cs="仿宋_GB2312"/>
          <w:color w:val="auto"/>
          <w:sz w:val="28"/>
          <w:szCs w:val="28"/>
          <w:lang w:val="en-US"/>
        </w:rPr>
        <w:t>20</w:t>
      </w:r>
      <w:r>
        <w:rPr>
          <w:rFonts w:hint="eastAsia" w:ascii="仿宋_GB2312" w:eastAsia="仿宋_GB2312" w:cs="仿宋_GB2312"/>
          <w:color w:val="auto"/>
          <w:sz w:val="28"/>
          <w:szCs w:val="28"/>
        </w:rPr>
        <w:t xml:space="preserve"> 年竣工的工程申报。</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第十二条：各赛区应汇总指导、推荐工程资料，并书面完成推荐意见；专家委根据工程资料及赛区的推荐意见，进行审议，以记名投票方式</w:t>
      </w:r>
      <w:r>
        <w:rPr>
          <w:rFonts w:ascii="仿宋_GB2312" w:eastAsia="仿宋_GB2312" w:cs="仿宋_GB2312"/>
          <w:color w:val="auto"/>
          <w:sz w:val="28"/>
          <w:szCs w:val="28"/>
        </w:rPr>
        <w:t>2/3</w:t>
      </w:r>
      <w:r>
        <w:rPr>
          <w:rFonts w:hint="eastAsia" w:ascii="仿宋_GB2312" w:eastAsia="仿宋_GB2312" w:cs="仿宋_GB2312"/>
          <w:color w:val="auto"/>
          <w:sz w:val="28"/>
          <w:szCs w:val="28"/>
        </w:rPr>
        <w:t>通过即进入公示阶段；经社会公示无疑议，主办单位确认即为入选工程。</w:t>
      </w:r>
    </w:p>
    <w:p>
      <w:pPr>
        <w:pStyle w:val="24"/>
        <w:spacing w:line="420" w:lineRule="exact"/>
        <w:rPr>
          <w:rFonts w:ascii="方正兰亭中黑_GBK" w:eastAsia="方正兰亭中黑_GBK" w:cs="方正兰亭中黑_GBK"/>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第七章　活动纪律</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第十三条：申报单位要实事求是，不得弄虚作假及使用任何不正当手段。如发现违纪行为，视其情节轻重，给予批评警告，直至撤销申报和入选资格。</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第十四条：指导评审人员要秉公办事，严守纪律，自觉抵制不正之风。对违纪者，视其情节轻重，给予批评警告，直到撤销其专家委和现场咨询专家资格。</w:t>
      </w:r>
    </w:p>
    <w:p>
      <w:pPr>
        <w:pStyle w:val="24"/>
        <w:spacing w:line="420" w:lineRule="exact"/>
        <w:jc w:val="center"/>
        <w:rPr>
          <w:rFonts w:ascii="仿宋_GB2312" w:eastAsia="仿宋_GB2312" w:cs="仿宋_GB2312"/>
          <w:color w:val="auto"/>
          <w:sz w:val="28"/>
          <w:szCs w:val="28"/>
        </w:rPr>
      </w:pPr>
    </w:p>
    <w:p>
      <w:pPr>
        <w:pStyle w:val="24"/>
        <w:spacing w:line="420" w:lineRule="exact"/>
        <w:jc w:val="center"/>
        <w:rPr>
          <w:rFonts w:ascii="方正兰亭中黑_GBK" w:eastAsia="方正兰亭中黑_GBK" w:cs="方正兰亭中黑_GBK"/>
          <w:color w:val="auto"/>
          <w:sz w:val="28"/>
          <w:szCs w:val="28"/>
        </w:rPr>
      </w:pPr>
      <w:r>
        <w:rPr>
          <w:rFonts w:hint="eastAsia" w:ascii="方正兰亭中黑_GBK" w:eastAsia="方正兰亭中黑_GBK" w:cs="方正兰亭中黑_GBK"/>
          <w:color w:val="auto"/>
          <w:sz w:val="28"/>
          <w:szCs w:val="28"/>
        </w:rPr>
        <w:t>第八章　金石奖项目设置</w:t>
      </w:r>
    </w:p>
    <w:p>
      <w:pPr>
        <w:pStyle w:val="24"/>
        <w:spacing w:line="420" w:lineRule="exact"/>
        <w:jc w:val="center"/>
        <w:rPr>
          <w:rFonts w:ascii="仿宋_GB2312" w:eastAsia="仿宋_GB2312" w:cs="仿宋_GB2312"/>
          <w:color w:val="auto"/>
          <w:sz w:val="28"/>
          <w:szCs w:val="28"/>
        </w:rPr>
      </w:pPr>
    </w:p>
    <w:p>
      <w:pPr>
        <w:pStyle w:val="24"/>
        <w:spacing w:line="420" w:lineRule="exact"/>
        <w:ind w:firstLine="570"/>
        <w:rPr>
          <w:rFonts w:hint="eastAsia" w:ascii="仿宋_GB2312" w:eastAsia="仿宋_GB2312" w:cs="仿宋_GB2312"/>
          <w:color w:val="auto"/>
          <w:sz w:val="28"/>
          <w:szCs w:val="28"/>
        </w:rPr>
      </w:pPr>
      <w:r>
        <w:rPr>
          <w:rFonts w:hint="eastAsia" w:ascii="仿宋_GB2312" w:eastAsia="仿宋_GB2312" w:cs="仿宋_GB2312"/>
          <w:color w:val="auto"/>
          <w:sz w:val="28"/>
          <w:szCs w:val="28"/>
        </w:rPr>
        <w:t>第十五条：金石奖工程设综合奖、单项奖。</w:t>
      </w:r>
    </w:p>
    <w:p>
      <w:pPr>
        <w:pStyle w:val="24"/>
        <w:spacing w:line="420" w:lineRule="exact"/>
        <w:ind w:firstLine="570"/>
        <w:rPr>
          <w:rFonts w:ascii="仿宋_GB2312" w:eastAsia="仿宋_GB2312" w:cs="仿宋_GB2312"/>
          <w:color w:val="auto"/>
          <w:sz w:val="28"/>
          <w:szCs w:val="28"/>
        </w:rPr>
      </w:pPr>
      <w:r>
        <w:rPr>
          <w:rFonts w:hint="eastAsia" w:ascii="仿宋_GB2312" w:eastAsia="仿宋_GB2312" w:cs="仿宋_GB2312"/>
          <w:color w:val="auto"/>
          <w:sz w:val="28"/>
          <w:szCs w:val="28"/>
        </w:rPr>
        <w:t>第十六条：单项奖设建筑内装饰奖、建筑外装饰奖、专业工程奖、科技创新奖、工程设计奖、石材养护工程奖、优秀项目经理奖</w:t>
      </w:r>
      <w:r>
        <w:rPr>
          <w:rFonts w:hint="eastAsia" w:ascii="仿宋_GB2312" w:eastAsia="仿宋_GB2312" w:cs="仿宋_GB2312"/>
          <w:color w:val="auto"/>
          <w:sz w:val="28"/>
          <w:szCs w:val="28"/>
          <w:lang w:eastAsia="zh-CN"/>
        </w:rPr>
        <w:t>、</w:t>
      </w:r>
      <w:r>
        <w:rPr>
          <w:rFonts w:hint="eastAsia" w:ascii="仿宋_GB2312" w:eastAsia="仿宋_GB2312" w:cs="仿宋_GB2312"/>
          <w:color w:val="auto"/>
          <w:sz w:val="28"/>
          <w:szCs w:val="28"/>
        </w:rPr>
        <w:t>重点推荐石材品种奖共</w:t>
      </w:r>
      <w:r>
        <w:rPr>
          <w:rFonts w:hint="eastAsia" w:ascii="仿宋_GB2312" w:eastAsia="仿宋_GB2312" w:cs="仿宋_GB2312"/>
          <w:color w:val="auto"/>
          <w:sz w:val="28"/>
          <w:szCs w:val="28"/>
          <w:lang w:val="en-US" w:eastAsia="zh-CN"/>
        </w:rPr>
        <w:t>8</w:t>
      </w:r>
      <w:r>
        <w:rPr>
          <w:rFonts w:hint="eastAsia" w:ascii="仿宋_GB2312" w:eastAsia="仿宋_GB2312" w:cs="仿宋_GB2312"/>
          <w:color w:val="auto"/>
          <w:sz w:val="28"/>
          <w:szCs w:val="28"/>
        </w:rPr>
        <w:t>项。</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w:t>
      </w:r>
    </w:p>
    <w:p>
      <w:pPr>
        <w:pStyle w:val="24"/>
        <w:spacing w:line="420" w:lineRule="exact"/>
        <w:rPr>
          <w:rFonts w:hint="eastAsia" w:ascii="仿宋_GB2312" w:eastAsia="仿宋_GB2312" w:cs="仿宋_GB2312"/>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第九章示范与推广</w:t>
      </w:r>
    </w:p>
    <w:p>
      <w:pPr>
        <w:pStyle w:val="24"/>
        <w:spacing w:line="420" w:lineRule="exact"/>
        <w:rPr>
          <w:rFonts w:ascii="仿宋_GB2312" w:eastAsia="仿宋_GB2312" w:cs="仿宋_GB2312"/>
          <w:color w:val="auto"/>
          <w:sz w:val="28"/>
          <w:szCs w:val="28"/>
        </w:rPr>
      </w:pP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七条：主办单位召开大会，向荣获金石奖工程的企业和个人授予铭牌和证书，对示范企业、工程和个人在建筑时报、中华建筑报、上海石材、浙江建筑装饰、江苏装饰装修等报纸、杂志媒体以及上海石材网、上海装饰网、浙江在线装饰网、江苏装饰装修网等相关网站进行宣传推广和示范。</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第十八条：编辑出版年度《中国长三角金石奖工程集锦》，每个入选单位做宣传（主要刊登工程效果照片、工程简介、主要参与企业列名和入选个人事迹）。</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第十</w:t>
      </w:r>
      <w:r>
        <w:rPr>
          <w:rFonts w:hint="eastAsia" w:ascii="仿宋_GB2312" w:eastAsia="仿宋_GB2312" w:cs="仿宋_GB2312"/>
          <w:color w:val="auto"/>
          <w:sz w:val="28"/>
          <w:szCs w:val="28"/>
          <w:lang w:val="en-US"/>
        </w:rPr>
        <w:t>九</w:t>
      </w:r>
      <w:r>
        <w:rPr>
          <w:rFonts w:hint="eastAsia" w:ascii="仿宋_GB2312" w:eastAsia="仿宋_GB2312" w:cs="仿宋_GB2312"/>
          <w:color w:val="auto"/>
          <w:sz w:val="28"/>
          <w:szCs w:val="28"/>
        </w:rPr>
        <w:t>条：评审结果将由主办单位发文至政府及有关单位，作为主管部门对企业、项目和项目经理、设计师进行年度质量、诚信、业绩考核与评优的加分依据。</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第二十条：凡入选工程，经企业申请，工程建设方同意，主办单位可以制作石质铭牌，永久安装在建设工程醒目处。</w:t>
      </w:r>
    </w:p>
    <w:p>
      <w:pPr>
        <w:pStyle w:val="24"/>
        <w:spacing w:line="420" w:lineRule="exact"/>
        <w:rPr>
          <w:rFonts w:ascii="仿宋_GB2312" w:eastAsia="仿宋_GB2312" w:cs="仿宋_GB2312"/>
          <w:color w:val="auto"/>
          <w:sz w:val="28"/>
          <w:szCs w:val="28"/>
        </w:rPr>
      </w:pPr>
      <w:r>
        <w:rPr>
          <w:rFonts w:hint="eastAsia" w:ascii="仿宋_GB2312" w:eastAsia="仿宋_GB2312" w:cs="仿宋_GB2312"/>
          <w:color w:val="auto"/>
          <w:sz w:val="28"/>
          <w:szCs w:val="28"/>
        </w:rPr>
        <w:t>　　第二十一条：凡获金石奖工程的企业均记入诚信手册。</w:t>
      </w:r>
    </w:p>
    <w:p>
      <w:pPr>
        <w:pStyle w:val="24"/>
        <w:spacing w:line="420" w:lineRule="exact"/>
        <w:rPr>
          <w:rFonts w:ascii="方正兰亭中黑_GBK" w:eastAsia="方正兰亭中黑_GBK" w:cs="方正兰亭中黑_GBK"/>
          <w:color w:val="auto"/>
          <w:sz w:val="28"/>
          <w:szCs w:val="28"/>
        </w:rPr>
      </w:pPr>
    </w:p>
    <w:p>
      <w:pPr>
        <w:pStyle w:val="24"/>
        <w:spacing w:line="420" w:lineRule="exact"/>
        <w:jc w:val="center"/>
        <w:rPr>
          <w:rFonts w:ascii="仿宋_GB2312" w:eastAsia="仿宋_GB2312" w:cs="仿宋_GB2312"/>
          <w:color w:val="auto"/>
          <w:sz w:val="28"/>
          <w:szCs w:val="28"/>
        </w:rPr>
      </w:pPr>
      <w:r>
        <w:rPr>
          <w:rFonts w:hint="eastAsia" w:ascii="方正兰亭中黑_GBK" w:eastAsia="方正兰亭中黑_GBK" w:cs="方正兰亭中黑_GBK"/>
          <w:color w:val="auto"/>
          <w:sz w:val="28"/>
          <w:szCs w:val="28"/>
        </w:rPr>
        <w:t>第十章附则</w:t>
      </w:r>
    </w:p>
    <w:p>
      <w:pPr>
        <w:pStyle w:val="24"/>
        <w:spacing w:line="420" w:lineRule="exact"/>
        <w:rPr>
          <w:rFonts w:ascii="仿宋_GB2312" w:eastAsia="仿宋_GB2312" w:cs="仿宋_GB2312"/>
          <w:color w:val="auto"/>
          <w:sz w:val="28"/>
          <w:szCs w:val="28"/>
        </w:rPr>
      </w:pP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第二十二条：各项目说明</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一、“综合奖”颁发给石材工程达到600万以上体量，原则上石材工程覆盖建筑外装饰、建筑内装饰和园林景观范围，石材工程质量和效果代表当年度较高水平的石材示范工程；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二、“建筑内装饰奖”颁发给石材工程主体体现在建筑内装饰范围，石材工程质量和效果达到较高水平的石材示范工程；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三、“建筑外装饰奖”颁发给石材工程主体体现在建筑外装饰范围，石材工程质量和效果达到较高水平的石材示范工程；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四、“专业工程奖”颁给桥樑、河堤、园林、景观、道路、轨道交通、机场、码头、车站等专业领域的优秀石材示范工程；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五、“工程设计奖”颁给石材工程总体效果、材料选择等方面的设计有创意并科学合理，在石材工程造型与铺装、材质与颜色搭配、与环境的和谐等方面体现特色的石材示范工程；</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六、“科技创新奖”颁给体现石材工程新技术、新工艺、新材料应用和节能环保，正确引导行业科技创新发展的石材示范工程。</w:t>
      </w:r>
    </w:p>
    <w:p>
      <w:pPr>
        <w:pStyle w:val="24"/>
        <w:spacing w:line="420" w:lineRule="exact"/>
        <w:ind w:firstLine="560" w:firstLineChars="200"/>
        <w:rPr>
          <w:rFonts w:hint="eastAsia" w:ascii="仿宋_GB2312" w:eastAsia="仿宋_GB2312" w:cs="仿宋_GB2312"/>
          <w:color w:val="auto"/>
          <w:sz w:val="28"/>
          <w:szCs w:val="28"/>
        </w:rPr>
      </w:pPr>
      <w:r>
        <w:rPr>
          <w:rFonts w:hint="eastAsia" w:ascii="仿宋_GB2312" w:eastAsia="仿宋_GB2312" w:cs="仿宋_GB2312"/>
          <w:color w:val="auto"/>
          <w:sz w:val="28"/>
          <w:szCs w:val="28"/>
        </w:rPr>
        <w:t>七、“石材养护工程奖”颁给通过石材护理、抛磨、翻新等手段，使石材达到较好装饰效果的石材养护示范工程。</w:t>
      </w:r>
    </w:p>
    <w:p>
      <w:pPr>
        <w:pStyle w:val="24"/>
        <w:spacing w:line="420" w:lineRule="exact"/>
        <w:ind w:firstLine="560" w:firstLineChars="200"/>
        <w:rPr>
          <w:rFonts w:hint="eastAsia" w:ascii="仿宋_GB2312" w:eastAsia="仿宋_GB2312" w:cs="仿宋_GB2312"/>
          <w:color w:val="auto"/>
          <w:sz w:val="28"/>
          <w:szCs w:val="28"/>
        </w:rPr>
      </w:pPr>
      <w:r>
        <w:rPr>
          <w:rFonts w:hint="eastAsia" w:ascii="仿宋_GB2312" w:eastAsia="仿宋_GB2312" w:cs="仿宋_GB2312"/>
          <w:color w:val="auto"/>
          <w:sz w:val="28"/>
          <w:szCs w:val="28"/>
        </w:rPr>
        <w:t>八、“优秀项目经理奖”颁给石材石材工程项目管理表现优异，获得金石奖荣誉，在行业内具有示范和推广价值的优秀项目经理。</w:t>
      </w:r>
    </w:p>
    <w:p>
      <w:pPr>
        <w:pStyle w:val="24"/>
        <w:spacing w:line="420" w:lineRule="exact"/>
        <w:ind w:firstLine="560" w:firstLineChars="200"/>
        <w:rPr>
          <w:rFonts w:hint="eastAsia" w:ascii="仿宋_GB2312" w:eastAsia="仿宋_GB2312" w:cs="仿宋_GB2312"/>
          <w:color w:val="auto"/>
          <w:sz w:val="28"/>
          <w:szCs w:val="28"/>
        </w:rPr>
      </w:pPr>
      <w:r>
        <w:rPr>
          <w:rFonts w:hint="eastAsia" w:ascii="仿宋_GB2312" w:eastAsia="仿宋_GB2312" w:cs="仿宋_GB2312"/>
          <w:color w:val="auto"/>
          <w:sz w:val="28"/>
          <w:szCs w:val="28"/>
          <w:lang w:val="en-US" w:eastAsia="zh-CN"/>
        </w:rPr>
        <w:t>九</w:t>
      </w:r>
      <w:r>
        <w:rPr>
          <w:rFonts w:hint="eastAsia" w:ascii="仿宋_GB2312" w:eastAsia="仿宋_GB2312" w:cs="仿宋_GB2312"/>
          <w:color w:val="auto"/>
          <w:sz w:val="28"/>
          <w:szCs w:val="28"/>
        </w:rPr>
        <w:t>、“重点推荐石材品种奖”颁给在石材工程中具有广泛或独特应用，代表性工程获得当年金石示范工程，获得业界广泛好评和推荐的优秀石材品种。</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lang w:val="en-US"/>
        </w:rPr>
        <w:t xml:space="preserve">    </w:t>
      </w:r>
      <w:r>
        <w:rPr>
          <w:rFonts w:hint="eastAsia" w:ascii="仿宋_GB2312" w:eastAsia="仿宋_GB2312" w:cs="仿宋_GB2312"/>
          <w:color w:val="auto"/>
          <w:sz w:val="28"/>
          <w:szCs w:val="28"/>
        </w:rPr>
        <w:t>第二十三条：申报建设工程所使用的石材包括天然石材、人造石材和仿石类新型饰面材料。</w:t>
      </w:r>
    </w:p>
    <w:p>
      <w:pPr>
        <w:pStyle w:val="24"/>
        <w:spacing w:line="420" w:lineRule="exact"/>
        <w:rPr>
          <w:rFonts w:hint="eastAsia" w:ascii="仿宋_GB2312" w:eastAsia="仿宋_GB2312" w:cs="仿宋_GB2312"/>
          <w:color w:val="auto"/>
          <w:sz w:val="28"/>
          <w:szCs w:val="28"/>
        </w:rPr>
      </w:pPr>
      <w:r>
        <w:rPr>
          <w:rFonts w:hint="eastAsia" w:ascii="仿宋_GB2312" w:eastAsia="仿宋_GB2312" w:cs="仿宋_GB2312"/>
          <w:color w:val="auto"/>
          <w:sz w:val="28"/>
          <w:szCs w:val="28"/>
        </w:rPr>
        <w:t>　</w:t>
      </w:r>
      <w:r>
        <w:rPr>
          <w:rFonts w:hint="eastAsia" w:ascii="仿宋_GB2312" w:eastAsia="仿宋_GB2312" w:cs="仿宋_GB2312"/>
          <w:color w:val="auto"/>
          <w:sz w:val="28"/>
          <w:szCs w:val="28"/>
          <w:lang w:val="en-US"/>
        </w:rPr>
        <w:t xml:space="preserve">  </w:t>
      </w:r>
      <w:r>
        <w:rPr>
          <w:rFonts w:hint="eastAsia" w:ascii="仿宋_GB2312" w:eastAsia="仿宋_GB2312" w:cs="仿宋_GB2312"/>
          <w:color w:val="auto"/>
          <w:sz w:val="28"/>
          <w:szCs w:val="28"/>
        </w:rPr>
        <w:t>第二十四条：凡入选工程，可以在承建单位的同意并协调下，经活动办核实后，分别对该工程建设、设计、监理咨询、建筑施工总包、装饰和幕墙、石材供料、石材养护企业颁发铭牌；</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outlineLvl w:val="9"/>
        <w:rPr>
          <w:rFonts w:hint="eastAsia" w:ascii="方正兰亭中黑_GBK" w:hAnsi="微软雅黑" w:eastAsia="方正兰亭中黑_GBK" w:cs="方正粗宋_GBK"/>
          <w:color w:val="000000"/>
          <w:kern w:val="0"/>
          <w:sz w:val="40"/>
          <w:szCs w:val="40"/>
          <w:lang w:val="zh-CN"/>
        </w:rPr>
      </w:pPr>
      <w:r>
        <w:rPr>
          <w:rFonts w:hint="eastAsia" w:ascii="仿宋_GB2312" w:eastAsia="仿宋_GB2312" w:cs="仿宋_GB2312"/>
          <w:color w:val="auto"/>
          <w:sz w:val="28"/>
          <w:szCs w:val="28"/>
          <w:lang w:val="en-US"/>
        </w:rPr>
        <w:t xml:space="preserve">    </w:t>
      </w:r>
      <w:r>
        <w:rPr>
          <w:rFonts w:hint="eastAsia" w:ascii="仿宋_GB2312" w:eastAsia="仿宋_GB2312" w:cs="仿宋_GB2312"/>
          <w:color w:val="auto"/>
          <w:sz w:val="28"/>
          <w:szCs w:val="28"/>
        </w:rPr>
        <w:t>第二十五条：如有多家装饰石材企业参与同一个入选工程的装饰和石材分包，则每个工程原则上最多有前三家装饰和石材企业入选（每家装饰和石材企业须达到200万建安工作量，且每家企业占到整个石材工程建安工作量的25％以上）。</w:t>
      </w:r>
      <w:bookmarkStart w:id="0" w:name="_GoBack"/>
      <w:bookmarkEnd w:id="0"/>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420" w:lineRule="exact"/>
        <w:ind w:firstLine="585"/>
        <w:jc w:val="left"/>
        <w:rPr>
          <w:rFonts w:hint="eastAsia" w:ascii="仿宋_GB2312" w:eastAsia="仿宋_GB2312" w:cs="仿宋_GB2312"/>
          <w:sz w:val="28"/>
          <w:szCs w:val="28"/>
        </w:rPr>
      </w:pPr>
    </w:p>
    <w:p>
      <w:pPr>
        <w:spacing w:line="360" w:lineRule="exact"/>
        <w:jc w:val="left"/>
        <w:rPr>
          <w:rFonts w:ascii="微软雅黑" w:hAnsi="微软雅黑" w:eastAsia="微软雅黑" w:cs="方正综艺_GBK"/>
          <w:b/>
          <w:szCs w:val="21"/>
          <w:shd w:val="pct10" w:color="auto" w:fill="FFFFFF"/>
        </w:rPr>
      </w:pPr>
    </w:p>
    <w:sectPr>
      <w:pgSz w:w="11906" w:h="16838"/>
      <w:pgMar w:top="737" w:right="907" w:bottom="737" w:left="90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40001" w:csb1="00000000"/>
  </w:font>
  <w:font w:name="方正兰亭中黑_GBK">
    <w:altName w:val="黑体"/>
    <w:panose1 w:val="02000000000000000000"/>
    <w:charset w:val="86"/>
    <w:family w:val="auto"/>
    <w:pitch w:val="default"/>
    <w:sig w:usb0="00000000" w:usb1="00000000" w:usb2="00082016" w:usb3="00000000" w:csb0="00040000" w:csb1="00000000"/>
  </w:font>
  <w:font w:name="微软雅黑">
    <w:panose1 w:val="020B0503020204020204"/>
    <w:charset w:val="86"/>
    <w:family w:val="swiss"/>
    <w:pitch w:val="default"/>
    <w:sig w:usb0="80000287" w:usb1="2ACF3C50" w:usb2="00000016" w:usb3="00000000" w:csb0="0004001F" w:csb1="00000000"/>
  </w:font>
  <w:font w:name="方正粗宋_GBK">
    <w:altName w:val="宋体"/>
    <w:panose1 w:val="03000509000000000000"/>
    <w:charset w:val="86"/>
    <w:family w:val="script"/>
    <w:pitch w:val="default"/>
    <w:sig w:usb0="00000000" w:usb1="00000000" w:usb2="00000000" w:usb3="00000000" w:csb0="00040000" w:csb1="00000000"/>
  </w:font>
  <w:font w:name="方正兰亭黑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综艺_GBK">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C3E"/>
    <w:rsid w:val="0002424D"/>
    <w:rsid w:val="00073323"/>
    <w:rsid w:val="00084D93"/>
    <w:rsid w:val="000C52ED"/>
    <w:rsid w:val="00100547"/>
    <w:rsid w:val="00173788"/>
    <w:rsid w:val="0018392D"/>
    <w:rsid w:val="001B5214"/>
    <w:rsid w:val="001D3659"/>
    <w:rsid w:val="001F45BE"/>
    <w:rsid w:val="002A7934"/>
    <w:rsid w:val="002C5201"/>
    <w:rsid w:val="002F2B1B"/>
    <w:rsid w:val="00302818"/>
    <w:rsid w:val="00315EA2"/>
    <w:rsid w:val="00320B8D"/>
    <w:rsid w:val="0035612E"/>
    <w:rsid w:val="00370BA0"/>
    <w:rsid w:val="003951E9"/>
    <w:rsid w:val="00431F31"/>
    <w:rsid w:val="004B43D6"/>
    <w:rsid w:val="004D4B06"/>
    <w:rsid w:val="00524827"/>
    <w:rsid w:val="00551EF4"/>
    <w:rsid w:val="00561765"/>
    <w:rsid w:val="005B19FB"/>
    <w:rsid w:val="005B5426"/>
    <w:rsid w:val="00604A30"/>
    <w:rsid w:val="00607BBE"/>
    <w:rsid w:val="00650173"/>
    <w:rsid w:val="00653329"/>
    <w:rsid w:val="006920A8"/>
    <w:rsid w:val="006A1EDD"/>
    <w:rsid w:val="006C5338"/>
    <w:rsid w:val="00725160"/>
    <w:rsid w:val="007E08B4"/>
    <w:rsid w:val="00800F24"/>
    <w:rsid w:val="0081414D"/>
    <w:rsid w:val="00821228"/>
    <w:rsid w:val="00850BAE"/>
    <w:rsid w:val="008913B4"/>
    <w:rsid w:val="009940A5"/>
    <w:rsid w:val="009C3BFC"/>
    <w:rsid w:val="009C4E92"/>
    <w:rsid w:val="00A21C3E"/>
    <w:rsid w:val="00A63338"/>
    <w:rsid w:val="00AA2D0A"/>
    <w:rsid w:val="00AB45DB"/>
    <w:rsid w:val="00B031A9"/>
    <w:rsid w:val="00B04058"/>
    <w:rsid w:val="00B1010F"/>
    <w:rsid w:val="00B212B3"/>
    <w:rsid w:val="00B625D4"/>
    <w:rsid w:val="00BA37DA"/>
    <w:rsid w:val="00C32571"/>
    <w:rsid w:val="00C61283"/>
    <w:rsid w:val="00C744DD"/>
    <w:rsid w:val="00CC4C82"/>
    <w:rsid w:val="00D063A6"/>
    <w:rsid w:val="00D06873"/>
    <w:rsid w:val="00D56A14"/>
    <w:rsid w:val="00D801D3"/>
    <w:rsid w:val="00DC7541"/>
    <w:rsid w:val="00DD6D16"/>
    <w:rsid w:val="00DF2AA9"/>
    <w:rsid w:val="00E23E65"/>
    <w:rsid w:val="00E56100"/>
    <w:rsid w:val="00E606E6"/>
    <w:rsid w:val="00E65AA4"/>
    <w:rsid w:val="00E83F4A"/>
    <w:rsid w:val="00E8400D"/>
    <w:rsid w:val="00EF62CB"/>
    <w:rsid w:val="00F02719"/>
    <w:rsid w:val="00F03BF3"/>
    <w:rsid w:val="00F05179"/>
    <w:rsid w:val="00F255D7"/>
    <w:rsid w:val="00F7227A"/>
    <w:rsid w:val="00F8697A"/>
    <w:rsid w:val="00FB7D19"/>
    <w:rsid w:val="00FD2160"/>
    <w:rsid w:val="02F172E3"/>
    <w:rsid w:val="06296B96"/>
    <w:rsid w:val="08790994"/>
    <w:rsid w:val="095A781F"/>
    <w:rsid w:val="1EC1688D"/>
    <w:rsid w:val="1FC95359"/>
    <w:rsid w:val="2AAA4C2C"/>
    <w:rsid w:val="2E6538E5"/>
    <w:rsid w:val="37BF4B5B"/>
    <w:rsid w:val="42801384"/>
    <w:rsid w:val="498173BF"/>
    <w:rsid w:val="4A1D1EEF"/>
    <w:rsid w:val="559D6705"/>
    <w:rsid w:val="5EF04586"/>
    <w:rsid w:val="64043D80"/>
    <w:rsid w:val="64C33B88"/>
    <w:rsid w:val="6D7B06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tcPr>
      <w:textDirection w:val="btLr"/>
    </w:tcPr>
  </w:style>
  <w:style w:type="paragraph" w:styleId="2">
    <w:name w:val="Balloon Text"/>
    <w:basedOn w:val="1"/>
    <w:link w:val="31"/>
    <w:unhideWhenUsed/>
    <w:qFormat/>
    <w:uiPriority w:val="99"/>
    <w:rPr>
      <w:sz w:val="18"/>
      <w:szCs w:val="18"/>
    </w:rPr>
  </w:style>
  <w:style w:type="paragraph" w:styleId="3">
    <w:name w:val="footer"/>
    <w:basedOn w:val="1"/>
    <w:link w:val="33"/>
    <w:unhideWhenUsed/>
    <w:qFormat/>
    <w:uiPriority w:val="99"/>
    <w:pPr>
      <w:tabs>
        <w:tab w:val="center" w:pos="4153"/>
        <w:tab w:val="right" w:pos="8306"/>
      </w:tabs>
      <w:snapToGrid w:val="0"/>
      <w:jc w:val="left"/>
    </w:pPr>
    <w:rPr>
      <w:sz w:val="18"/>
      <w:szCs w:val="18"/>
    </w:rPr>
  </w:style>
  <w:style w:type="paragraph" w:styleId="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22"/>
    <w:rPr>
      <w:b/>
    </w:rPr>
  </w:style>
  <w:style w:type="character" w:styleId="9">
    <w:name w:val="FollowedHyperlink"/>
    <w:basedOn w:val="7"/>
    <w:unhideWhenUsed/>
    <w:qFormat/>
    <w:uiPriority w:val="99"/>
    <w:rPr>
      <w:color w:val="338DE6"/>
      <w:u w:val="none"/>
    </w:rPr>
  </w:style>
  <w:style w:type="character" w:styleId="10">
    <w:name w:val="Emphasis"/>
    <w:basedOn w:val="7"/>
    <w:qFormat/>
    <w:uiPriority w:val="20"/>
  </w:style>
  <w:style w:type="character" w:styleId="11">
    <w:name w:val="HTML Definition"/>
    <w:basedOn w:val="7"/>
    <w:unhideWhenUsed/>
    <w:qFormat/>
    <w:uiPriority w:val="99"/>
  </w:style>
  <w:style w:type="character" w:styleId="12">
    <w:name w:val="HTML Acronym"/>
    <w:basedOn w:val="7"/>
    <w:unhideWhenUsed/>
    <w:qFormat/>
    <w:uiPriority w:val="99"/>
  </w:style>
  <w:style w:type="character" w:styleId="13">
    <w:name w:val="HTML Variable"/>
    <w:basedOn w:val="7"/>
    <w:unhideWhenUsed/>
    <w:qFormat/>
    <w:uiPriority w:val="99"/>
  </w:style>
  <w:style w:type="character" w:styleId="14">
    <w:name w:val="Hyperlink"/>
    <w:basedOn w:val="7"/>
    <w:unhideWhenUsed/>
    <w:qFormat/>
    <w:uiPriority w:val="99"/>
    <w:rPr>
      <w:color w:val="338DE6"/>
      <w:u w:val="none"/>
    </w:rPr>
  </w:style>
  <w:style w:type="character" w:styleId="15">
    <w:name w:val="HTML Code"/>
    <w:basedOn w:val="7"/>
    <w:unhideWhenUsed/>
    <w:qFormat/>
    <w:uiPriority w:val="99"/>
    <w:rPr>
      <w:rFonts w:hint="default" w:ascii="monospace" w:hAnsi="monospace" w:eastAsia="monospace" w:cs="monospace"/>
      <w:sz w:val="21"/>
      <w:szCs w:val="21"/>
    </w:rPr>
  </w:style>
  <w:style w:type="character" w:styleId="16">
    <w:name w:val="HTML Cite"/>
    <w:basedOn w:val="7"/>
    <w:unhideWhenUsed/>
    <w:qFormat/>
    <w:uiPriority w:val="99"/>
  </w:style>
  <w:style w:type="character" w:styleId="17">
    <w:name w:val="HTML Keyboard"/>
    <w:basedOn w:val="7"/>
    <w:unhideWhenUsed/>
    <w:qFormat/>
    <w:uiPriority w:val="99"/>
    <w:rPr>
      <w:rFonts w:ascii="monospace" w:hAnsi="monospace" w:eastAsia="monospace" w:cs="monospace"/>
      <w:sz w:val="21"/>
      <w:szCs w:val="21"/>
    </w:rPr>
  </w:style>
  <w:style w:type="character" w:styleId="18">
    <w:name w:val="HTML Sample"/>
    <w:basedOn w:val="7"/>
    <w:unhideWhenUsed/>
    <w:qFormat/>
    <w:uiPriority w:val="99"/>
    <w:rPr>
      <w:rFonts w:hint="default" w:ascii="monospace" w:hAnsi="monospace" w:eastAsia="monospace" w:cs="monospace"/>
      <w:sz w:val="21"/>
      <w:szCs w:val="21"/>
    </w:rPr>
  </w:style>
  <w:style w:type="paragraph" w:customStyle="1" w:styleId="19">
    <w:name w:val="info2"/>
    <w:basedOn w:val="1"/>
    <w:qFormat/>
    <w:uiPriority w:val="0"/>
    <w:pPr>
      <w:spacing w:before="0" w:beforeAutospacing="0" w:after="0" w:afterAutospacing="0" w:line="570" w:lineRule="atLeast"/>
      <w:ind w:left="150" w:right="0"/>
      <w:jc w:val="left"/>
      <w:textAlignment w:val="top"/>
    </w:pPr>
    <w:rPr>
      <w:kern w:val="0"/>
      <w:lang w:val="en-US" w:eastAsia="zh-CN" w:bidi="ar"/>
    </w:rPr>
  </w:style>
  <w:style w:type="paragraph" w:customStyle="1" w:styleId="20">
    <w:name w:val="info6"/>
    <w:basedOn w:val="1"/>
    <w:qFormat/>
    <w:uiPriority w:val="0"/>
    <w:pPr>
      <w:spacing w:line="240" w:lineRule="atLeast"/>
      <w:jc w:val="left"/>
    </w:pPr>
    <w:rPr>
      <w:kern w:val="0"/>
      <w:lang w:val="en-US" w:eastAsia="zh-CN" w:bidi="ar"/>
    </w:rPr>
  </w:style>
  <w:style w:type="paragraph" w:customStyle="1" w:styleId="21">
    <w:name w:val="info"/>
    <w:basedOn w:val="1"/>
    <w:qFormat/>
    <w:uiPriority w:val="0"/>
    <w:pPr>
      <w:spacing w:before="0" w:beforeAutospacing="0" w:after="0" w:afterAutospacing="0"/>
      <w:ind w:left="150" w:right="0"/>
      <w:jc w:val="left"/>
    </w:pPr>
    <w:rPr>
      <w:kern w:val="0"/>
      <w:lang w:val="en-US" w:eastAsia="zh-CN" w:bidi="ar"/>
    </w:rPr>
  </w:style>
  <w:style w:type="paragraph" w:customStyle="1" w:styleId="22">
    <w:name w:val="[无段落样式]"/>
    <w:qFormat/>
    <w:uiPriority w:val="0"/>
    <w:pPr>
      <w:widowControl w:val="0"/>
      <w:autoSpaceDE w:val="0"/>
      <w:autoSpaceDN w:val="0"/>
      <w:adjustRightInd w:val="0"/>
      <w:spacing w:line="288" w:lineRule="auto"/>
      <w:jc w:val="both"/>
      <w:textAlignment w:val="center"/>
    </w:pPr>
    <w:rPr>
      <w:rFonts w:ascii="宋体" w:hAnsi="Times New Roman" w:eastAsia="宋体" w:cs="宋体"/>
      <w:color w:val="000000"/>
      <w:sz w:val="24"/>
      <w:szCs w:val="24"/>
      <w:lang w:val="zh-CN" w:eastAsia="zh-CN" w:bidi="ar-SA"/>
    </w:rPr>
  </w:style>
  <w:style w:type="paragraph" w:customStyle="1" w:styleId="23">
    <w:name w:val="info4"/>
    <w:basedOn w:val="1"/>
    <w:qFormat/>
    <w:uiPriority w:val="0"/>
    <w:pPr>
      <w:jc w:val="left"/>
    </w:pPr>
    <w:rPr>
      <w:kern w:val="0"/>
      <w:lang w:val="en-US" w:eastAsia="zh-CN" w:bidi="ar"/>
    </w:rPr>
  </w:style>
  <w:style w:type="paragraph" w:customStyle="1" w:styleId="24">
    <w:name w:val="[基本段落]"/>
    <w:basedOn w:val="1"/>
    <w:qFormat/>
    <w:uiPriority w:val="99"/>
    <w:pPr>
      <w:autoSpaceDE w:val="0"/>
      <w:autoSpaceDN w:val="0"/>
      <w:adjustRightInd w:val="0"/>
      <w:spacing w:line="288" w:lineRule="auto"/>
      <w:textAlignment w:val="center"/>
    </w:pPr>
    <w:rPr>
      <w:rFonts w:ascii="宋体" w:eastAsia="宋体" w:cs="宋体"/>
      <w:color w:val="000000"/>
      <w:kern w:val="0"/>
      <w:sz w:val="24"/>
      <w:szCs w:val="24"/>
      <w:lang w:val="zh-CN"/>
    </w:rPr>
  </w:style>
  <w:style w:type="character" w:customStyle="1" w:styleId="25">
    <w:name w:val="页眉 Char"/>
    <w:basedOn w:val="7"/>
    <w:link w:val="4"/>
    <w:qFormat/>
    <w:uiPriority w:val="99"/>
    <w:rPr>
      <w:sz w:val="18"/>
      <w:szCs w:val="18"/>
    </w:rPr>
  </w:style>
  <w:style w:type="character" w:customStyle="1" w:styleId="26">
    <w:name w:val="tplname"/>
    <w:basedOn w:val="7"/>
    <w:qFormat/>
    <w:uiPriority w:val="0"/>
    <w:rPr>
      <w:color w:val="FFFFFF"/>
      <w:shd w:val="clear" w:color="auto" w:fill="2C2C2C"/>
    </w:rPr>
  </w:style>
  <w:style w:type="character" w:customStyle="1" w:styleId="27">
    <w:name w:val="nth-child(2)"/>
    <w:basedOn w:val="7"/>
    <w:qFormat/>
    <w:uiPriority w:val="0"/>
  </w:style>
  <w:style w:type="character" w:customStyle="1" w:styleId="28">
    <w:name w:val="s_txt223"/>
    <w:basedOn w:val="7"/>
    <w:qFormat/>
    <w:uiPriority w:val="0"/>
  </w:style>
  <w:style w:type="character" w:customStyle="1" w:styleId="29">
    <w:name w:val="name46"/>
    <w:basedOn w:val="7"/>
    <w:qFormat/>
    <w:uiPriority w:val="0"/>
    <w:rPr>
      <w:color w:val="FFFFFF"/>
      <w:shd w:val="clear" w:color="auto" w:fill="000000"/>
    </w:rPr>
  </w:style>
  <w:style w:type="character" w:customStyle="1" w:styleId="30">
    <w:name w:val="nth-child(4)"/>
    <w:basedOn w:val="7"/>
    <w:qFormat/>
    <w:uiPriority w:val="0"/>
  </w:style>
  <w:style w:type="character" w:customStyle="1" w:styleId="31">
    <w:name w:val="批注框文本 Char"/>
    <w:basedOn w:val="7"/>
    <w:link w:val="2"/>
    <w:semiHidden/>
    <w:qFormat/>
    <w:uiPriority w:val="99"/>
    <w:rPr>
      <w:sz w:val="18"/>
      <w:szCs w:val="18"/>
    </w:rPr>
  </w:style>
  <w:style w:type="character" w:customStyle="1" w:styleId="32">
    <w:name w:val="s_txt225"/>
    <w:basedOn w:val="7"/>
    <w:qFormat/>
    <w:uiPriority w:val="0"/>
  </w:style>
  <w:style w:type="character" w:customStyle="1" w:styleId="33">
    <w:name w:val="页脚 Char"/>
    <w:basedOn w:val="7"/>
    <w:link w:val="3"/>
    <w:qFormat/>
    <w:uiPriority w:val="99"/>
    <w:rPr>
      <w:sz w:val="18"/>
      <w:szCs w:val="18"/>
    </w:rPr>
  </w:style>
  <w:style w:type="character" w:customStyle="1" w:styleId="34">
    <w:name w:val="tplname1"/>
    <w:basedOn w:val="7"/>
    <w:qFormat/>
    <w:uiPriority w:val="0"/>
    <w:rPr>
      <w:color w:val="FFFFFF"/>
      <w:shd w:val="clear" w:color="auto" w:fill="2C2C2C"/>
    </w:rPr>
  </w:style>
  <w:style w:type="character" w:customStyle="1" w:styleId="35">
    <w:name w:val="s_txt226"/>
    <w:basedOn w:val="7"/>
    <w:qFormat/>
    <w:uiPriority w:val="0"/>
  </w:style>
  <w:style w:type="character" w:customStyle="1" w:styleId="36">
    <w:name w:val="nth-child(5)"/>
    <w:basedOn w:val="7"/>
    <w:qFormat/>
    <w:uiPriority w:val="0"/>
  </w:style>
  <w:style w:type="character" w:customStyle="1" w:styleId="37">
    <w:name w:val="fontborder"/>
    <w:basedOn w:val="7"/>
    <w:qFormat/>
    <w:uiPriority w:val="0"/>
    <w:rPr>
      <w:bdr w:val="single" w:color="000000" w:sz="6" w:space="0"/>
    </w:rPr>
  </w:style>
  <w:style w:type="character" w:customStyle="1" w:styleId="38">
    <w:name w:val="nth-child(3)"/>
    <w:basedOn w:val="7"/>
    <w:qFormat/>
    <w:uiPriority w:val="0"/>
  </w:style>
  <w:style w:type="character" w:customStyle="1" w:styleId="39">
    <w:name w:val="s_spetxt5"/>
    <w:basedOn w:val="7"/>
    <w:qFormat/>
    <w:uiPriority w:val="0"/>
    <w:rPr>
      <w:color w:val="FF9900"/>
    </w:rPr>
  </w:style>
  <w:style w:type="character" w:customStyle="1" w:styleId="40">
    <w:name w:val="s_txt224"/>
    <w:basedOn w:val="7"/>
    <w:qFormat/>
    <w:uiPriority w:val="0"/>
  </w:style>
  <w:style w:type="character" w:customStyle="1" w:styleId="41">
    <w:name w:val="s_txt227"/>
    <w:basedOn w:val="7"/>
    <w:qFormat/>
    <w:uiPriority w:val="0"/>
  </w:style>
  <w:style w:type="character" w:customStyle="1" w:styleId="42">
    <w:name w:val="fontstrikethrough"/>
    <w:basedOn w:val="7"/>
    <w:qFormat/>
    <w:uiPriority w:val="0"/>
    <w:rPr>
      <w:strike/>
    </w:rPr>
  </w:style>
  <w:style w:type="character" w:customStyle="1" w:styleId="43">
    <w:name w:val="w_autocut32"/>
    <w:basedOn w:val="7"/>
    <w:qFormat/>
    <w:uiPriority w:val="0"/>
  </w:style>
  <w:style w:type="character" w:customStyle="1" w:styleId="44">
    <w:name w:val="tplname2"/>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1175</Words>
  <Characters>6699</Characters>
  <Lines>55</Lines>
  <Paragraphs>15</Paragraphs>
  <TotalTime>0</TotalTime>
  <ScaleCrop>false</ScaleCrop>
  <LinksUpToDate>false</LinksUpToDate>
  <CharactersWithSpaces>7859</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2017-04-10T05:24:00Z</dcterms:created>
  <dc:creator>pi</dc:creator>
  <cp:lastModifiedBy>LENOVO</cp:lastModifiedBy>
  <cp:lastPrinted>2017-04-10T01:04:00Z</cp:lastPrinted>
  <dcterms:modified xsi:type="dcterms:W3CDTF">2019-05-09T01:32:19Z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